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B8599" w14:textId="7C46EF4C" w:rsidR="00770FAF" w:rsidRDefault="00770FAF" w:rsidP="00770FAF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 Neue" w:hAnsi="Helvetica Neue" w:cs="Helvetica Neue"/>
          <w:sz w:val="32"/>
          <w:szCs w:val="32"/>
        </w:rPr>
      </w:pPr>
    </w:p>
    <w:p w14:paraId="0DC106BE" w14:textId="74AD3902" w:rsidR="00770FAF" w:rsidRDefault="00E003C1" w:rsidP="001C0D4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sz w:val="32"/>
          <w:szCs w:val="32"/>
        </w:rPr>
      </w:pPr>
      <w:r>
        <w:rPr>
          <w:rFonts w:ascii="Helvetica Neue" w:hAnsi="Helvetica Neue" w:cs="Helvetica Neue"/>
          <w:noProof/>
          <w:sz w:val="32"/>
          <w:szCs w:val="32"/>
          <w:lang w:eastAsia="it-IT"/>
        </w:rPr>
        <w:drawing>
          <wp:inline distT="0" distB="0" distL="0" distR="0" wp14:anchorId="34710501" wp14:editId="64553DA8">
            <wp:extent cx="3726061" cy="2674225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convegno 1°marz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643" cy="270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ECCE" w14:textId="77777777" w:rsidR="00A16E94" w:rsidRDefault="001C0D44" w:rsidP="00A16E9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Helvetica Neue" w:hAnsi="Helvetica Neue" w:cs="Helvetica Neue"/>
          <w:sz w:val="32"/>
          <w:szCs w:val="32"/>
        </w:rPr>
      </w:pPr>
      <w:r>
        <w:rPr>
          <w:rFonts w:ascii="Helvetica Neue" w:hAnsi="Helvetica Neue" w:cs="Helvetica Neue"/>
          <w:sz w:val="32"/>
          <w:szCs w:val="32"/>
        </w:rPr>
        <w:t xml:space="preserve">Comunicato Stampa: </w:t>
      </w:r>
      <w:r w:rsidR="00E003C1">
        <w:rPr>
          <w:rFonts w:ascii="Helvetica Neue" w:hAnsi="Helvetica Neue" w:cs="Helvetica Neue"/>
          <w:sz w:val="32"/>
          <w:szCs w:val="32"/>
        </w:rPr>
        <w:t xml:space="preserve">Un decennio di regole finanziarie anticrisi. Come </w:t>
      </w:r>
      <w:r w:rsidR="00E003C1" w:rsidRPr="00E003C1">
        <w:rPr>
          <w:rFonts w:ascii="Helvetica Neue" w:hAnsi="Helvetica Neue" w:cs="Helvetica Neue"/>
          <w:sz w:val="32"/>
          <w:szCs w:val="32"/>
        </w:rPr>
        <w:t>la gestione bancaria ha risp</w:t>
      </w:r>
      <w:r w:rsidR="00E003C1">
        <w:rPr>
          <w:rFonts w:ascii="Helvetica Neue" w:hAnsi="Helvetica Neue" w:cs="Helvetica Neue"/>
          <w:sz w:val="32"/>
          <w:szCs w:val="32"/>
        </w:rPr>
        <w:t>osto alle domande dell'economia.</w:t>
      </w:r>
    </w:p>
    <w:p w14:paraId="156205BA" w14:textId="12F46D1A" w:rsidR="00A16E94" w:rsidRPr="00A16E94" w:rsidRDefault="00770FAF" w:rsidP="00A16E9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Helvetica Neue" w:hAnsi="Helvetica Neue" w:cs="Helvetica Neue"/>
          <w:sz w:val="32"/>
          <w:szCs w:val="32"/>
        </w:rPr>
      </w:pPr>
      <w:r w:rsidRPr="00A16E94">
        <w:rPr>
          <w:rFonts w:ascii="Helvetica Neue" w:hAnsi="Helvetica Neue" w:cs="Helvetica Neue"/>
          <w:b/>
          <w:bCs/>
        </w:rPr>
        <w:t xml:space="preserve">Modena, </w:t>
      </w:r>
      <w:r w:rsidR="00E003C1" w:rsidRPr="00A16E94">
        <w:rPr>
          <w:rFonts w:ascii="Helvetica Neue" w:hAnsi="Helvetica Neue" w:cs="Helvetica Neue"/>
          <w:b/>
          <w:bCs/>
        </w:rPr>
        <w:t>1° marzo 2019 dalle ore 9.15, Auditorium Marco Biagi, Fondazione Marco Biagi, Largo Marco Biagi 10</w:t>
      </w:r>
    </w:p>
    <w:p w14:paraId="7D91BD71" w14:textId="084C1D40" w:rsidR="00E003C1" w:rsidRPr="00A16E94" w:rsidRDefault="00E003C1" w:rsidP="00A16E94">
      <w:pPr>
        <w:pStyle w:val="NormaleWeb"/>
        <w:spacing w:after="360"/>
        <w:jc w:val="both"/>
        <w:rPr>
          <w:rFonts w:ascii="Helvetica Neue" w:hAnsi="Helvetica Neue" w:cs="Helvetica Neue"/>
          <w:bCs/>
          <w:color w:val="000000" w:themeColor="text1"/>
        </w:rPr>
      </w:pPr>
      <w:r w:rsidRPr="00E003C1">
        <w:rPr>
          <w:rFonts w:ascii="Helvetica Neue" w:hAnsi="Helvetica Neue" w:cs="Helvetica Neue"/>
          <w:bCs/>
          <w:iCs/>
          <w:sz w:val="21"/>
          <w:szCs w:val="21"/>
        </w:rPr>
        <w:t>Il Convegno, promosso dal Dipartimento di Economia Marco Biagi nell’ambito delle iniziative programmate per il suo 50ennale, vede la partecipazione di docenti che nel Dipartimento hanno svolto una rilevante attività di ricerca e didattica in c</w:t>
      </w:r>
      <w:r w:rsidR="00A16E94">
        <w:rPr>
          <w:rFonts w:ascii="Helvetica Neue" w:hAnsi="Helvetica Neue" w:cs="Helvetica Neue"/>
          <w:bCs/>
          <w:iCs/>
          <w:sz w:val="21"/>
          <w:szCs w:val="21"/>
        </w:rPr>
        <w:t xml:space="preserve">ampo bancario e finanziario. È </w:t>
      </w:r>
      <w:r w:rsidRPr="00E003C1">
        <w:rPr>
          <w:rFonts w:ascii="Helvetica Neue" w:hAnsi="Helvetica Neue" w:cs="Helvetica Neue"/>
          <w:bCs/>
          <w:iCs/>
          <w:sz w:val="21"/>
          <w:szCs w:val="21"/>
        </w:rPr>
        <w:t>prevista inoltre la partecipazione di importanti esponenti del mondo bancario con cui si approfondirà il tema delle regole e dei loro riflessi sulla gestione bancaria.</w:t>
      </w:r>
    </w:p>
    <w:p w14:paraId="2BED58BA" w14:textId="5A2700E8" w:rsidR="00E003C1" w:rsidRPr="00E003C1" w:rsidRDefault="00E003C1" w:rsidP="00E003C1">
      <w:pPr>
        <w:pStyle w:val="NormaleWeb"/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E003C1">
        <w:rPr>
          <w:rFonts w:ascii="Helvetica Neue" w:hAnsi="Helvetica Neue" w:cs="Helvetica Neue"/>
          <w:bCs/>
          <w:iCs/>
          <w:sz w:val="21"/>
          <w:szCs w:val="21"/>
        </w:rPr>
        <w:t>Ad oltre dieci anni dall’inizio della Grande Crisi Finanziaria è possibile trarre un bilancio dell’impatto del processo di regolamentazione europea sull’attività delle banche italiane e valutare la loro adeguatezza nel rispondere ai rischi derivanti da una protratta stagnazione economica.</w:t>
      </w:r>
      <w:r w:rsidR="00A16E94">
        <w:rPr>
          <w:rFonts w:ascii="Helvetica Neue" w:hAnsi="Helvetica Neue" w:cs="Helvetica Neue"/>
          <w:bCs/>
          <w:iCs/>
          <w:sz w:val="21"/>
          <w:szCs w:val="21"/>
        </w:rPr>
        <w:t xml:space="preserve"> </w:t>
      </w:r>
      <w:r w:rsidRPr="00E003C1">
        <w:rPr>
          <w:rFonts w:ascii="Helvetica Neue" w:hAnsi="Helvetica Neue" w:cs="Helvetica Neue"/>
          <w:bCs/>
          <w:iCs/>
          <w:sz w:val="21"/>
          <w:szCs w:val="21"/>
        </w:rPr>
        <w:t>I principali temi che verranno affrontati dai relatori delle 4 sessioni riguardano:</w:t>
      </w:r>
    </w:p>
    <w:p w14:paraId="4B71A485" w14:textId="77777777" w:rsidR="00E003C1" w:rsidRPr="00E003C1" w:rsidRDefault="00E003C1" w:rsidP="00E003C1">
      <w:pPr>
        <w:pStyle w:val="NormaleWeb"/>
        <w:numPr>
          <w:ilvl w:val="0"/>
          <w:numId w:val="1"/>
        </w:numPr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E003C1">
        <w:rPr>
          <w:rFonts w:ascii="Helvetica Neue" w:hAnsi="Helvetica Neue" w:cs="Helvetica Neue"/>
          <w:bCs/>
          <w:iCs/>
          <w:sz w:val="21"/>
          <w:szCs w:val="21"/>
        </w:rPr>
        <w:t>l’efficacia delle regole rispetto alle problematiche poste dalla crisi bancaria e finanziaria e dei suoi effetti sull’economia;</w:t>
      </w:r>
    </w:p>
    <w:p w14:paraId="61C1710F" w14:textId="77777777" w:rsidR="00E003C1" w:rsidRPr="00E003C1" w:rsidRDefault="00E003C1" w:rsidP="00E003C1">
      <w:pPr>
        <w:pStyle w:val="NormaleWeb"/>
        <w:numPr>
          <w:ilvl w:val="0"/>
          <w:numId w:val="1"/>
        </w:numPr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E003C1">
        <w:rPr>
          <w:rFonts w:ascii="Helvetica Neue" w:hAnsi="Helvetica Neue" w:cs="Helvetica Neue"/>
          <w:bCs/>
          <w:iCs/>
          <w:sz w:val="21"/>
          <w:szCs w:val="21"/>
        </w:rPr>
        <w:t>le ricadute delle regole su strategie, comportamenti e performance delle banche italiane;</w:t>
      </w:r>
    </w:p>
    <w:p w14:paraId="551B381F" w14:textId="77777777" w:rsidR="00E003C1" w:rsidRPr="00E003C1" w:rsidRDefault="00E003C1" w:rsidP="00E003C1">
      <w:pPr>
        <w:pStyle w:val="NormaleWeb"/>
        <w:numPr>
          <w:ilvl w:val="0"/>
          <w:numId w:val="1"/>
        </w:numPr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E003C1">
        <w:rPr>
          <w:rFonts w:ascii="Helvetica Neue" w:hAnsi="Helvetica Neue" w:cs="Helvetica Neue"/>
          <w:bCs/>
          <w:iCs/>
          <w:sz w:val="21"/>
          <w:szCs w:val="21"/>
        </w:rPr>
        <w:t xml:space="preserve">il ruolo della </w:t>
      </w:r>
      <w:proofErr w:type="spellStart"/>
      <w:r w:rsidRPr="00E003C1">
        <w:rPr>
          <w:rFonts w:ascii="Helvetica Neue" w:hAnsi="Helvetica Neue" w:cs="Helvetica Neue"/>
          <w:bCs/>
          <w:i/>
          <w:iCs/>
          <w:sz w:val="21"/>
          <w:szCs w:val="21"/>
        </w:rPr>
        <w:t>governance</w:t>
      </w:r>
      <w:proofErr w:type="spellEnd"/>
      <w:r w:rsidRPr="00E003C1">
        <w:rPr>
          <w:rFonts w:ascii="Helvetica Neue" w:hAnsi="Helvetica Neue" w:cs="Helvetica Neue"/>
          <w:bCs/>
          <w:iCs/>
          <w:sz w:val="21"/>
          <w:szCs w:val="21"/>
        </w:rPr>
        <w:t xml:space="preserve"> nel perseguire un’efficiente gestione delle banche;</w:t>
      </w:r>
    </w:p>
    <w:p w14:paraId="1044D7C7" w14:textId="77777777" w:rsidR="00E003C1" w:rsidRPr="00E003C1" w:rsidRDefault="00E003C1" w:rsidP="00E003C1">
      <w:pPr>
        <w:pStyle w:val="NormaleWeb"/>
        <w:numPr>
          <w:ilvl w:val="0"/>
          <w:numId w:val="1"/>
        </w:numPr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E003C1">
        <w:rPr>
          <w:rFonts w:ascii="Helvetica Neue" w:hAnsi="Helvetica Neue" w:cs="Helvetica Neue"/>
          <w:bCs/>
          <w:iCs/>
          <w:sz w:val="21"/>
          <w:szCs w:val="21"/>
        </w:rPr>
        <w:t>l’impatto delle norme di trasparenza e di protezione della clientela sulle politiche di offerta dei servizi bancari.</w:t>
      </w:r>
    </w:p>
    <w:p w14:paraId="36BFEBD0" w14:textId="77777777" w:rsidR="00E003C1" w:rsidRPr="00A16E94" w:rsidRDefault="00E003C1" w:rsidP="00E003C1">
      <w:pPr>
        <w:pStyle w:val="NormaleWeb"/>
        <w:jc w:val="both"/>
        <w:rPr>
          <w:rFonts w:ascii="Helvetica Neue" w:hAnsi="Helvetica Neue" w:cs="Helvetica Neue"/>
          <w:b/>
          <w:bCs/>
          <w:iCs/>
          <w:sz w:val="21"/>
          <w:szCs w:val="21"/>
        </w:rPr>
      </w:pPr>
      <w:r w:rsidRPr="00A16E94">
        <w:rPr>
          <w:rFonts w:ascii="Helvetica Neue" w:hAnsi="Helvetica Neue" w:cs="Helvetica Neue"/>
          <w:b/>
          <w:bCs/>
          <w:iCs/>
          <w:sz w:val="21"/>
          <w:szCs w:val="21"/>
        </w:rPr>
        <w:t>Il convegno è gratuito e aperto al pubblico. Entro il 25 febbraio è possibile riservare il proprio posto andando sul sito del 50ennale o attraverso il seguente link:</w:t>
      </w:r>
    </w:p>
    <w:p w14:paraId="08221009" w14:textId="774CBF96" w:rsidR="00E003C1" w:rsidRPr="00E003C1" w:rsidRDefault="00E003C1" w:rsidP="00E003C1">
      <w:pPr>
        <w:pStyle w:val="NormaleWeb"/>
        <w:jc w:val="center"/>
        <w:rPr>
          <w:rFonts w:ascii="Helvetica Neue" w:hAnsi="Helvetica Neue" w:cs="Helvetica Neue"/>
          <w:bCs/>
          <w:iCs/>
          <w:sz w:val="22"/>
          <w:szCs w:val="22"/>
        </w:rPr>
      </w:pPr>
      <w:hyperlink r:id="rId8" w:history="1">
        <w:r w:rsidRPr="00E003C1">
          <w:rPr>
            <w:rStyle w:val="Collegamentoipertestuale"/>
            <w:rFonts w:ascii="Helvetica Neue" w:hAnsi="Helvetica Neue" w:cs="Helvetica Neue"/>
            <w:bCs/>
            <w:iCs/>
            <w:sz w:val="16"/>
            <w:szCs w:val="16"/>
          </w:rPr>
          <w:t>https://docs.google.com/forms/d/e/1FA</w:t>
        </w:r>
        <w:bookmarkStart w:id="0" w:name="_GoBack"/>
        <w:bookmarkEnd w:id="0"/>
        <w:r w:rsidRPr="00E003C1">
          <w:rPr>
            <w:rStyle w:val="Collegamentoipertestuale"/>
            <w:rFonts w:ascii="Helvetica Neue" w:hAnsi="Helvetica Neue" w:cs="Helvetica Neue"/>
            <w:bCs/>
            <w:iCs/>
            <w:sz w:val="16"/>
            <w:szCs w:val="16"/>
          </w:rPr>
          <w:t>IpQLSffNNh_shz3c4DImTP_BLhEoSC2MOT3tJKNPZvcF8dVei-BFA/viewform</w:t>
        </w:r>
      </w:hyperlink>
    </w:p>
    <w:p w14:paraId="352B4B25" w14:textId="77777777" w:rsidR="00A16E94" w:rsidRDefault="00A16E94" w:rsidP="00E003C1">
      <w:pPr>
        <w:pStyle w:val="NormaleWeb"/>
        <w:jc w:val="both"/>
        <w:rPr>
          <w:rFonts w:ascii="Helvetica Neue" w:hAnsi="Helvetica Neue" w:cs="Helvetica Neue"/>
          <w:b/>
          <w:bCs/>
          <w:i/>
          <w:iCs/>
          <w:sz w:val="22"/>
          <w:szCs w:val="22"/>
        </w:rPr>
      </w:pPr>
    </w:p>
    <w:p w14:paraId="6EB9C3EF" w14:textId="6D433306" w:rsidR="00E003C1" w:rsidRPr="00E003C1" w:rsidRDefault="00E003C1" w:rsidP="00E003C1">
      <w:pPr>
        <w:pStyle w:val="NormaleWeb"/>
        <w:jc w:val="both"/>
        <w:rPr>
          <w:rFonts w:ascii="Helvetica Neue" w:hAnsi="Helvetica Neue" w:cs="Helvetica Neue"/>
          <w:b/>
          <w:bCs/>
          <w:i/>
          <w:iCs/>
          <w:sz w:val="22"/>
          <w:szCs w:val="22"/>
        </w:rPr>
        <w:sectPr w:rsidR="00E003C1" w:rsidRPr="00E003C1" w:rsidSect="006D4D86">
          <w:headerReference w:type="default" r:id="rId9"/>
          <w:pgSz w:w="12240" w:h="15840"/>
          <w:pgMar w:top="1417" w:right="1134" w:bottom="1134" w:left="1134" w:header="0" w:footer="0" w:gutter="0"/>
          <w:cols w:space="720"/>
          <w:noEndnote/>
          <w:docGrid w:linePitch="326"/>
        </w:sectPr>
      </w:pPr>
      <w:r w:rsidRPr="00E003C1">
        <w:rPr>
          <w:rFonts w:ascii="Helvetica Neue" w:hAnsi="Helvetica Neue" w:cs="Helvetica Neue"/>
          <w:b/>
          <w:bCs/>
          <w:i/>
          <w:iCs/>
          <w:sz w:val="22"/>
          <w:szCs w:val="22"/>
        </w:rPr>
        <w:t>Programma del Convegno</w:t>
      </w:r>
    </w:p>
    <w:p w14:paraId="46096B95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  <w:r w:rsidRPr="00E003C1">
        <w:rPr>
          <w:rFonts w:ascii="Helvetica Neue" w:hAnsi="Helvetica Neue" w:cs="Helvetica Neue"/>
          <w:bCs/>
          <w:iCs/>
          <w:sz w:val="22"/>
          <w:szCs w:val="22"/>
        </w:rPr>
        <w:lastRenderedPageBreak/>
        <w:t>Sessione della mattina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>9.15-9.45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tab/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>Saluti istituzionali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t xml:space="preserve"> 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t>Presentazione del Convegno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Andrea Landi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>9.45-11.00</w:t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ab/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>Un decennio di regole anticrisi: le trasformazioni dell’attività bancaria e l’impatto sull’economia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t>Relatori</w:t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>Renzo Costi (Università di Bologna)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 xml:space="preserve">Marco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Onado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(Università Bocconi) 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>11.15-12.45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ab/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 xml:space="preserve">Le regole di stabilità: il capitale e la liquidità 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  <w:t>al centro della gestione bancaria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t>Relatori</w:t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Maurizio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Faroni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(Direttore Generale Banco BPM)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 xml:space="preserve">Elisabetta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Gualandri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Francesco Vella (Università di Bologna)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Valeria Venturelli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</w:p>
    <w:p w14:paraId="7883BB50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</w:p>
    <w:p w14:paraId="70B5D3B0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</w:p>
    <w:p w14:paraId="0A86E8DF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</w:p>
    <w:p w14:paraId="74A07612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</w:p>
    <w:p w14:paraId="32786467" w14:textId="72711D73" w:rsidR="00E003C1" w:rsidRP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0"/>
          <w:szCs w:val="20"/>
        </w:rPr>
      </w:pPr>
      <w:r w:rsidRPr="00E003C1">
        <w:rPr>
          <w:rFonts w:ascii="Helvetica Neue" w:hAnsi="Helvetica Neue" w:cs="Helvetica Neue"/>
          <w:bCs/>
          <w:iCs/>
          <w:sz w:val="22"/>
          <w:szCs w:val="22"/>
        </w:rPr>
        <w:lastRenderedPageBreak/>
        <w:t>Sessioni del pomeriggio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t>Presentazione delle sessioni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>: Andrea Ferrari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>14-15.15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tab/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 xml:space="preserve">Le regole di </w:t>
      </w:r>
      <w:proofErr w:type="spellStart"/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>governance</w:t>
      </w:r>
      <w:proofErr w:type="spellEnd"/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 xml:space="preserve">: l’impatto sugli organi 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  <w:t>di governo societario e sugli assetti organizzativi delle banche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t>Relatori</w:t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Cesare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Bisoni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 xml:space="preserve">Vincenzo Calandra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Buonaura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(Università di Bologna)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Riccardo Ferretti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 xml:space="preserve">Gian Enrico Venturini (Vice Direttore Generale BPER Banca) 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>15.15-16.30</w:t>
      </w:r>
      <w:r w:rsidRPr="00E003C1">
        <w:rPr>
          <w:rFonts w:ascii="Helvetica Neue" w:hAnsi="Helvetica Neue" w:cs="Helvetica Neue"/>
          <w:bCs/>
          <w:iCs/>
          <w:color w:val="FF0000"/>
          <w:sz w:val="22"/>
          <w:szCs w:val="22"/>
        </w:rPr>
        <w:tab/>
      </w:r>
      <w:r w:rsidRPr="00E003C1">
        <w:rPr>
          <w:rFonts w:ascii="Helvetica Neue" w:hAnsi="Helvetica Neue" w:cs="Helvetica Neue"/>
          <w:bCs/>
          <w:iCs/>
          <w:color w:val="FF0000"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 xml:space="preserve">Le regole di protezione della clientela: il ruolo 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  <w:t>delle funzioni aziendali e degli organismi di risoluzione alternativa delle controversie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t>Relatori</w:t>
      </w:r>
      <w:r w:rsidRPr="00E003C1">
        <w:rPr>
          <w:rFonts w:ascii="Helvetica Neue" w:hAnsi="Helvetica Neue" w:cs="Helvetica Neue"/>
          <w:bCs/>
          <w:i/>
          <w:iCs/>
          <w:sz w:val="20"/>
          <w:szCs w:val="20"/>
        </w:rPr>
        <w:br/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Carlo Appetiti (Group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Compliance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Officer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, Unicredit)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Stefano Cosma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 xml:space="preserve">Simonetta 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Cotterli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 xml:space="preserve">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Paola Vezzani (</w:t>
      </w:r>
      <w:proofErr w:type="spellStart"/>
      <w:r w:rsidRPr="00E003C1">
        <w:rPr>
          <w:rFonts w:ascii="Helvetica Neue" w:hAnsi="Helvetica Neue" w:cs="Helvetica Neue"/>
          <w:bCs/>
          <w:iCs/>
          <w:sz w:val="20"/>
          <w:szCs w:val="20"/>
        </w:rPr>
        <w:t>Unimore</w:t>
      </w:r>
      <w:proofErr w:type="spellEnd"/>
      <w:r w:rsidRPr="00E003C1">
        <w:rPr>
          <w:rFonts w:ascii="Helvetica Neue" w:hAnsi="Helvetica Neue" w:cs="Helvetica Neue"/>
          <w:bCs/>
          <w:iCs/>
          <w:sz w:val="20"/>
          <w:szCs w:val="20"/>
        </w:rPr>
        <w:t>)</w:t>
      </w:r>
      <w:r w:rsidRPr="00E003C1"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>16.30</w:t>
      </w:r>
      <w:r w:rsidRPr="00E003C1">
        <w:rPr>
          <w:rFonts w:ascii="Helvetica Neue" w:hAnsi="Helvetica Neue" w:cs="Helvetica Neue"/>
          <w:b/>
          <w:bCs/>
          <w:iCs/>
          <w:color w:val="FF0000"/>
          <w:sz w:val="22"/>
          <w:szCs w:val="22"/>
        </w:rPr>
        <w:tab/>
      </w:r>
      <w:r w:rsidRPr="00E003C1">
        <w:rPr>
          <w:rFonts w:ascii="Helvetica Neue" w:hAnsi="Helvetica Neue" w:cs="Helvetica Neue"/>
          <w:bCs/>
          <w:iCs/>
          <w:color w:val="FF0000"/>
          <w:sz w:val="22"/>
          <w:szCs w:val="22"/>
        </w:rPr>
        <w:br/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t>Intervento conclusivo</w:t>
      </w:r>
      <w:r w:rsidRPr="00E003C1">
        <w:rPr>
          <w:rFonts w:ascii="Helvetica Neue" w:hAnsi="Helvetica Neue" w:cs="Helvetica Neue"/>
          <w:b/>
          <w:bCs/>
          <w:iCs/>
          <w:sz w:val="22"/>
          <w:szCs w:val="22"/>
        </w:rPr>
        <w:br/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t>Carmelo Barbagallo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(Capo del Dipartimento Vigilanza bancaria</w:t>
      </w:r>
      <w:r w:rsidRPr="00E003C1">
        <w:rPr>
          <w:rFonts w:ascii="Helvetica Neue" w:hAnsi="Helvetica Neue" w:cs="Helvetica Neue"/>
          <w:bCs/>
          <w:iCs/>
          <w:sz w:val="20"/>
          <w:szCs w:val="20"/>
        </w:rPr>
        <w:br/>
        <w:t>e finanziaria, Banca d’Italia) </w:t>
      </w:r>
    </w:p>
    <w:p w14:paraId="2458EADC" w14:textId="77777777" w:rsidR="00E003C1" w:rsidRP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</w:p>
    <w:p w14:paraId="49148F28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  <w:sectPr w:rsidR="00E003C1" w:rsidSect="00E003C1">
          <w:type w:val="continuous"/>
          <w:pgSz w:w="12240" w:h="15840"/>
          <w:pgMar w:top="1417" w:right="1134" w:bottom="1134" w:left="1134" w:header="0" w:footer="0" w:gutter="0"/>
          <w:cols w:num="2" w:space="720"/>
          <w:noEndnote/>
          <w:docGrid w:linePitch="326"/>
        </w:sectPr>
      </w:pPr>
    </w:p>
    <w:p w14:paraId="5165C45A" w14:textId="77777777" w:rsidR="009967B2" w:rsidRDefault="009967B2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482A89A3" w14:textId="77777777" w:rsidR="009967B2" w:rsidRDefault="009967B2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456C80C1" w14:textId="77777777" w:rsidR="009967B2" w:rsidRPr="009967B2" w:rsidRDefault="009967B2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  <w:sectPr w:rsidR="009967B2" w:rsidRPr="009967B2" w:rsidSect="00E003C1">
          <w:type w:val="continuous"/>
          <w:pgSz w:w="12240" w:h="15840"/>
          <w:pgMar w:top="1417" w:right="1134" w:bottom="1134" w:left="1134" w:header="0" w:footer="0" w:gutter="0"/>
          <w:cols w:space="720"/>
          <w:noEndnote/>
          <w:docGrid w:linePitch="326"/>
        </w:sectPr>
      </w:pPr>
    </w:p>
    <w:p w14:paraId="1CC22BDE" w14:textId="627C2DE4" w:rsidR="00714CB5" w:rsidRPr="009967B2" w:rsidRDefault="00714CB5" w:rsidP="009967B2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</w:pP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lastRenderedPageBreak/>
        <w:t>Università degli St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udi di Modena e Reggio Emilia </w:t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  <w:t>Diparti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mento di Economia Marco Biagi 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vial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e Berengario 51, 41121 Modena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  <w:t>tel. 059 205 6711</w:t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 email </w:t>
      </w:r>
      <w:hyperlink r:id="rId10" w:tooltip="Invia una e-mail" w:history="1">
        <w:r w:rsidRPr="009967B2">
          <w:rPr>
            <w:rStyle w:val="Collegamentoipertestuale"/>
            <w:rFonts w:ascii="Helvetica Neue" w:hAnsi="Helvetica Neue" w:cs="Helvetica Neue"/>
            <w:b/>
            <w:bCs/>
            <w:iCs/>
            <w:color w:val="7F7F7F" w:themeColor="text1" w:themeTint="80"/>
            <w:sz w:val="18"/>
            <w:szCs w:val="18"/>
          </w:rPr>
          <w:t>info.economia@Unimore.it</w:t>
        </w:r>
      </w:hyperlink>
    </w:p>
    <w:p w14:paraId="6019B3D2" w14:textId="5594562A" w:rsidR="00714CB5" w:rsidRPr="009967B2" w:rsidRDefault="009967B2" w:rsidP="001C0D44">
      <w:pPr>
        <w:pStyle w:val="NormaleWeb"/>
        <w:spacing w:before="0" w:beforeAutospacing="0" w:after="360" w:afterAutospacing="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sectPr w:rsidR="00714CB5" w:rsidRPr="009967B2" w:rsidSect="00714CB5">
          <w:type w:val="continuous"/>
          <w:pgSz w:w="12240" w:h="15840"/>
          <w:pgMar w:top="1417" w:right="1134" w:bottom="1134" w:left="1134" w:header="0" w:footer="0" w:gutter="0"/>
          <w:cols w:num="2" w:space="720"/>
          <w:noEndnote/>
          <w:docGrid w:linePitch="326"/>
        </w:sectPr>
      </w:pP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lastRenderedPageBreak/>
        <w:t>50ennale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 del Dipartimento di Economia Marco Biagi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hyperlink r:id="rId11" w:history="1">
        <w:r w:rsidR="00714CB5" w:rsidRPr="009967B2">
          <w:rPr>
            <w:rStyle w:val="Collegamentoipertestuale"/>
            <w:rFonts w:ascii="Helvetica Neue" w:hAnsi="Helvetica Neue" w:cs="Helvetica Neue"/>
            <w:bCs/>
            <w:iCs/>
            <w:color w:val="7F7F7F" w:themeColor="text1" w:themeTint="80"/>
            <w:sz w:val="18"/>
            <w:szCs w:val="18"/>
          </w:rPr>
          <w:t>50demb@unimore.it</w:t>
        </w:r>
      </w:hyperlink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hyperlink r:id="rId12" w:history="1">
        <w:r w:rsidR="00714CB5" w:rsidRPr="009967B2">
          <w:rPr>
            <w:rStyle w:val="Collegamentoipertestuale"/>
            <w:rFonts w:ascii="Helvetica Neue" w:hAnsi="Helvetica Neue" w:cs="Helvetica Neue"/>
            <w:bCs/>
            <w:iCs/>
            <w:color w:val="7F7F7F" w:themeColor="text1" w:themeTint="80"/>
            <w:sz w:val="18"/>
            <w:szCs w:val="18"/>
          </w:rPr>
          <w:t>www.50demb.unimore.it</w:t>
        </w:r>
      </w:hyperlink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  <w:t xml:space="preserve">IG: 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@50annidemb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FB: 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50anniDEMB – Dipar</w:t>
      </w:r>
      <w:r w:rsidR="00A16E94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timento di Economia Marco Biagi</w:t>
      </w:r>
    </w:p>
    <w:p w14:paraId="3134D812" w14:textId="4837B907" w:rsidR="00DF135D" w:rsidRPr="009967B2" w:rsidRDefault="00DF135D" w:rsidP="001C0D44">
      <w:pPr>
        <w:pStyle w:val="NormaleWeb"/>
        <w:spacing w:before="0" w:beforeAutospacing="0" w:after="360" w:afterAutospacing="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</w:pPr>
    </w:p>
    <w:sectPr w:rsidR="00DF135D" w:rsidRPr="009967B2" w:rsidSect="00714CB5">
      <w:type w:val="continuous"/>
      <w:pgSz w:w="12240" w:h="15840"/>
      <w:pgMar w:top="1417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6244" w14:textId="77777777" w:rsidR="00A64CD8" w:rsidRDefault="00A64CD8" w:rsidP="006D4D86">
      <w:r>
        <w:separator/>
      </w:r>
    </w:p>
  </w:endnote>
  <w:endnote w:type="continuationSeparator" w:id="0">
    <w:p w14:paraId="7D18AF60" w14:textId="77777777" w:rsidR="00A64CD8" w:rsidRDefault="00A64CD8" w:rsidP="006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F5C41" w14:textId="77777777" w:rsidR="00A64CD8" w:rsidRDefault="00A64CD8" w:rsidP="006D4D86">
      <w:r>
        <w:separator/>
      </w:r>
    </w:p>
  </w:footnote>
  <w:footnote w:type="continuationSeparator" w:id="0">
    <w:p w14:paraId="50699030" w14:textId="77777777" w:rsidR="00A64CD8" w:rsidRDefault="00A64CD8" w:rsidP="006D4D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C30FC" w14:textId="382F0133" w:rsidR="006D4D86" w:rsidRPr="006D4D86" w:rsidRDefault="006D4D86" w:rsidP="006306A1">
    <w:pPr>
      <w:pStyle w:val="Intestazione"/>
    </w:pPr>
    <w:r w:rsidRPr="006D4D86">
      <w:rPr>
        <w:noProof/>
        <w:lang w:eastAsia="it-IT"/>
      </w:rPr>
      <w:drawing>
        <wp:inline distT="0" distB="0" distL="0" distR="0" wp14:anchorId="1E063B77" wp14:editId="68290651">
          <wp:extent cx="2125971" cy="1188000"/>
          <wp:effectExtent l="0" t="0" r="8255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8815"/>
                  <a:stretch/>
                </pic:blipFill>
                <pic:spPr bwMode="auto">
                  <a:xfrm>
                    <a:off x="0" y="0"/>
                    <a:ext cx="212597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306A1">
      <w:t xml:space="preserve">                                  </w:t>
    </w:r>
    <w:r w:rsidR="00722D0D">
      <w:t xml:space="preserve">                                                         </w:t>
    </w:r>
    <w:r w:rsidR="006306A1">
      <w:t xml:space="preserve">        </w:t>
    </w:r>
    <w:r w:rsidR="006306A1" w:rsidRPr="006D4D86">
      <w:rPr>
        <w:noProof/>
        <w:lang w:eastAsia="it-IT"/>
      </w:rPr>
      <w:drawing>
        <wp:inline distT="0" distB="0" distL="0" distR="0" wp14:anchorId="08B1B960" wp14:editId="0B3AD3CD">
          <wp:extent cx="763905" cy="76390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4524" cy="76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06A1">
      <w:t xml:space="preserve">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A92"/>
    <w:multiLevelType w:val="multilevel"/>
    <w:tmpl w:val="845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AF"/>
    <w:rsid w:val="00043F1D"/>
    <w:rsid w:val="00052172"/>
    <w:rsid w:val="001664C6"/>
    <w:rsid w:val="00177A4D"/>
    <w:rsid w:val="001C0D44"/>
    <w:rsid w:val="001E1B83"/>
    <w:rsid w:val="00305B11"/>
    <w:rsid w:val="00456A80"/>
    <w:rsid w:val="00516ECD"/>
    <w:rsid w:val="005951B7"/>
    <w:rsid w:val="00621293"/>
    <w:rsid w:val="006306A1"/>
    <w:rsid w:val="006D4D86"/>
    <w:rsid w:val="007010E5"/>
    <w:rsid w:val="007145BB"/>
    <w:rsid w:val="00714CB5"/>
    <w:rsid w:val="00722D0D"/>
    <w:rsid w:val="00770FAF"/>
    <w:rsid w:val="007B107F"/>
    <w:rsid w:val="00846F3F"/>
    <w:rsid w:val="009967B2"/>
    <w:rsid w:val="00A16E94"/>
    <w:rsid w:val="00A64CD8"/>
    <w:rsid w:val="00C1672F"/>
    <w:rsid w:val="00CC0D21"/>
    <w:rsid w:val="00CC4447"/>
    <w:rsid w:val="00DF135D"/>
    <w:rsid w:val="00E003C1"/>
    <w:rsid w:val="00E742C9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95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0FA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770FAF"/>
  </w:style>
  <w:style w:type="character" w:styleId="Enfasicorsivo">
    <w:name w:val="Emphasis"/>
    <w:basedOn w:val="Carpredefinitoparagrafo"/>
    <w:uiPriority w:val="20"/>
    <w:qFormat/>
    <w:rsid w:val="00770FA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D4D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86"/>
  </w:style>
  <w:style w:type="paragraph" w:styleId="Pidipagina">
    <w:name w:val="footer"/>
    <w:basedOn w:val="Normale"/>
    <w:link w:val="PidipaginaCarattere"/>
    <w:uiPriority w:val="99"/>
    <w:unhideWhenUsed/>
    <w:rsid w:val="006D4D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86"/>
  </w:style>
  <w:style w:type="paragraph" w:customStyle="1" w:styleId="Standard">
    <w:name w:val="Standard"/>
    <w:rsid w:val="001C0D4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14CB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50demb@unimore.it" TargetMode="External"/><Relationship Id="rId12" Type="http://schemas.openxmlformats.org/officeDocument/2006/relationships/hyperlink" Target="http://www.50demb.unimore.i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forms/d/e/1FAIpQLSffNNh_shz3c4DImTP_BLhEoSC2MOT3tJKNPZvcF8dVei-BFA/viewform" TargetMode="External"/><Relationship Id="rId9" Type="http://schemas.openxmlformats.org/officeDocument/2006/relationships/header" Target="header1.xml"/><Relationship Id="rId10" Type="http://schemas.openxmlformats.org/officeDocument/2006/relationships/hyperlink" Target="mailto:info.economia@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554</Words>
  <Characters>3163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2019-01-14T09:18:00Z</dcterms:created>
  <dcterms:modified xsi:type="dcterms:W3CDTF">2019-02-11T10:08:00Z</dcterms:modified>
</cp:coreProperties>
</file>